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仿宋_GB2312" w:hAnsi="宋体" w:eastAsia="仿宋_GB2312"/>
          <w:b/>
          <w:sz w:val="36"/>
          <w:szCs w:val="36"/>
        </w:rPr>
      </w:pPr>
      <w:r>
        <w:rPr>
          <w:rFonts w:hint="eastAsia" w:ascii="仿宋_GB2312" w:hAnsi="宋体" w:eastAsia="仿宋_GB2312"/>
          <w:b/>
          <w:sz w:val="36"/>
          <w:szCs w:val="36"/>
        </w:rPr>
        <w:t>大学英语等级考试成绩代替学位外语水平考试成绩</w:t>
      </w:r>
      <w:r>
        <w:rPr>
          <w:rFonts w:hint="eastAsia" w:ascii="仿宋_GB2312" w:hAnsi="宋体" w:eastAsia="仿宋_GB2312"/>
          <w:b/>
          <w:sz w:val="36"/>
          <w:szCs w:val="36"/>
          <w:lang w:eastAsia="zh-CN"/>
        </w:rPr>
        <w:t>学生情况</w:t>
      </w:r>
      <w:r>
        <w:rPr>
          <w:rFonts w:hint="eastAsia" w:ascii="仿宋_GB2312" w:hAnsi="宋体" w:eastAsia="仿宋_GB2312"/>
          <w:b/>
          <w:sz w:val="36"/>
          <w:szCs w:val="36"/>
        </w:rPr>
        <w:t>核实汇总表</w:t>
      </w:r>
    </w:p>
    <w:tbl>
      <w:tblPr>
        <w:tblpPr w:leftFromText="180" w:rightFromText="180" w:vertAnchor="text" w:horzAnchor="margin" w:tblpXSpec="center" w:tblpY="940"/>
        <w:tblW w:w="142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25"/>
        <w:gridCol w:w="1013"/>
        <w:gridCol w:w="1079"/>
        <w:gridCol w:w="1208"/>
        <w:gridCol w:w="1597"/>
        <w:gridCol w:w="1190"/>
        <w:gridCol w:w="1276"/>
        <w:gridCol w:w="992"/>
        <w:gridCol w:w="851"/>
        <w:gridCol w:w="1134"/>
        <w:gridCol w:w="1134"/>
        <w:gridCol w:w="992"/>
        <w:gridCol w:w="9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27" w:hRule="atLeas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姓 名</w:t>
            </w:r>
          </w:p>
        </w:tc>
        <w:tc>
          <w:tcPr>
            <w:tcW w:w="107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学生 类型</w:t>
            </w:r>
          </w:p>
        </w:tc>
        <w:tc>
          <w:tcPr>
            <w:tcW w:w="120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毕业生编  号</w:t>
            </w:r>
          </w:p>
        </w:tc>
        <w:tc>
          <w:tcPr>
            <w:tcW w:w="159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入  学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时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间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毕  业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时  间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考  试   时  间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考试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类别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考试成绩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学校授位标准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生源地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核实 结论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28" w:hRule="atLeas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7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0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9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28" w:hRule="atLeas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7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0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9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28" w:hRule="atLeas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7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0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9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28" w:hRule="atLeas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7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0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9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34" w:type="dxa"/>
            <w:textDirection w:val="lrTb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34" w:type="dxa"/>
            <w:textDirection w:val="lrTb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92" w:type="dxa"/>
            <w:textDirection w:val="lrTb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学习中心、教学点名称</w:t>
      </w:r>
      <w:r>
        <w:rPr>
          <w:rFonts w:hint="eastAsia" w:ascii="仿宋_GB2312" w:hAnsi="宋体" w:eastAsia="仿宋_GB2312"/>
          <w:sz w:val="32"/>
          <w:szCs w:val="32"/>
        </w:rPr>
        <w:t xml:space="preserve">：            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学习中心、教学点</w:t>
      </w:r>
      <w:r>
        <w:rPr>
          <w:rFonts w:hint="eastAsia" w:ascii="仿宋_GB2312" w:hAnsi="宋体" w:eastAsia="仿宋_GB2312"/>
          <w:sz w:val="32"/>
          <w:szCs w:val="32"/>
        </w:rPr>
        <w:t>（公章）：</w:t>
      </w:r>
    </w:p>
    <w:p>
      <w:pPr>
        <w:ind w:firstLine="140" w:firstLineChars="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负责人：                                                 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审核</w:t>
      </w:r>
      <w:r>
        <w:rPr>
          <w:rFonts w:hint="eastAsia" w:ascii="仿宋_GB2312" w:hAnsi="宋体" w:eastAsia="仿宋_GB2312"/>
          <w:sz w:val="28"/>
          <w:szCs w:val="28"/>
        </w:rPr>
        <w:t>人</w:t>
      </w:r>
      <w:bookmarkStart w:id="0" w:name="_GoBack"/>
      <w:bookmarkEnd w:id="0"/>
      <w:r>
        <w:rPr>
          <w:rFonts w:hint="eastAsia" w:ascii="仿宋_GB2312" w:hAnsi="宋体" w:eastAsia="仿宋_GB2312"/>
          <w:sz w:val="28"/>
          <w:szCs w:val="28"/>
        </w:rPr>
        <w:t>：</w:t>
      </w:r>
    </w:p>
    <w:p>
      <w:pPr>
        <w:spacing w:line="276" w:lineRule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填表说明：1.学生类型分为三类，分别是：自考、网络；</w:t>
      </w:r>
      <w:r>
        <w:rPr>
          <w:rFonts w:hint="eastAsia" w:ascii="仿宋_GB2312" w:eastAsia="仿宋_GB2312"/>
          <w:sz w:val="24"/>
          <w:lang w:eastAsia="zh-CN"/>
        </w:rPr>
        <w:t>考试类别分别是：四级、六级、</w:t>
      </w:r>
      <w:r>
        <w:rPr>
          <w:rFonts w:hint="eastAsia" w:ascii="仿宋_GB2312" w:eastAsia="仿宋_GB2312"/>
          <w:sz w:val="24"/>
          <w:lang w:val="en-US" w:eastAsia="zh-CN"/>
        </w:rPr>
        <w:t>PET3</w:t>
      </w:r>
    </w:p>
    <w:p>
      <w:pPr>
        <w:numPr>
          <w:ilvl w:val="0"/>
          <w:numId w:val="1"/>
        </w:numPr>
        <w:spacing w:line="276" w:lineRule="auto"/>
        <w:ind w:firstLine="1200" w:firstLineChars="500"/>
        <w:rPr>
          <w:rFonts w:hint="eastAsia" w:ascii="仿宋_GB2312" w:eastAsia="仿宋_GB2312"/>
          <w:sz w:val="24"/>
          <w:lang w:eastAsia="zh-CN"/>
        </w:rPr>
      </w:pPr>
      <w:r>
        <w:rPr>
          <w:rFonts w:hint="eastAsia" w:ascii="仿宋_GB2312" w:eastAsia="仿宋_GB2312"/>
          <w:sz w:val="24"/>
        </w:rPr>
        <w:t>毕业生编号</w:t>
      </w:r>
      <w:r>
        <w:rPr>
          <w:rFonts w:hint="eastAsia" w:ascii="仿宋_GB2312" w:eastAsia="仿宋_GB2312"/>
          <w:sz w:val="24"/>
          <w:lang w:eastAsia="zh-CN"/>
        </w:rPr>
        <w:t>不填</w:t>
      </w:r>
    </w:p>
    <w:p>
      <w:pPr>
        <w:numPr>
          <w:ilvl w:val="0"/>
          <w:numId w:val="1"/>
        </w:numPr>
        <w:spacing w:line="276" w:lineRule="auto"/>
        <w:ind w:firstLine="1200" w:firstLineChars="5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时间统一填为阿拉伯数字，如：201003,201103；</w:t>
      </w:r>
    </w:p>
    <w:p>
      <w:pPr>
        <w:spacing w:line="276" w:lineRule="auto"/>
        <w:ind w:firstLine="1200" w:firstLineChars="5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4.核实结论分为：真实、造假、暂缓。</w:t>
      </w:r>
    </w:p>
    <w:p>
      <w:pPr>
        <w:spacing w:line="276" w:lineRule="auto"/>
        <w:rPr>
          <w:rFonts w:hint="eastAsia" w:ascii="仿宋_GB2312" w:eastAsia="仿宋_GB2312"/>
          <w:sz w:val="24"/>
          <w:lang w:val="en-US" w:eastAsia="zh-CN"/>
        </w:rPr>
      </w:pPr>
      <w:r>
        <w:rPr>
          <w:rFonts w:hint="eastAsia"/>
          <w:lang w:val="en-US" w:eastAsia="zh-CN"/>
        </w:rPr>
        <w:t xml:space="preserve">           5</w:t>
      </w:r>
      <w:r>
        <w:rPr>
          <w:rFonts w:hint="eastAsia" w:ascii="仿宋_GB2312" w:eastAsia="仿宋_GB2312"/>
          <w:sz w:val="24"/>
          <w:lang w:val="en-US" w:eastAsia="zh-CN"/>
        </w:rPr>
        <w:t>.请务必认真核实大学英语等级考试真伪。</w:t>
      </w:r>
    </w:p>
    <w:p>
      <w:pPr>
        <w:spacing w:line="276" w:lineRule="auto"/>
        <w:rPr>
          <w:rFonts w:hint="eastAsia" w:ascii="仿宋_GB2312" w:eastAsia="仿宋_GB2312"/>
          <w:sz w:val="24"/>
          <w:lang w:val="en-US" w:eastAsia="zh-CN"/>
        </w:rPr>
      </w:pPr>
    </w:p>
    <w:sectPr>
      <w:pgSz w:w="16838" w:h="11906" w:orient="landscape"/>
      <w:pgMar w:top="1474" w:right="1134" w:bottom="1418" w:left="2098" w:header="851" w:footer="992" w:gutter="0"/>
      <w:pgNumType w:fmt="numberInDash"/>
      <w:cols w:space="720" w:num="1"/>
      <w:docGrid w:type="lines" w:linePitch="312" w:charSpace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378869951">
    <w:nsid w:val="522FE2BF"/>
    <w:multiLevelType w:val="singleLevel"/>
    <w:tmpl w:val="522FE2BF"/>
    <w:lvl w:ilvl="0" w:tentative="1">
      <w:start w:val="2"/>
      <w:numFmt w:val="decimal"/>
      <w:suff w:val="nothing"/>
      <w:lvlText w:val="%1."/>
      <w:lvlJc w:val="left"/>
    </w:lvl>
  </w:abstractNum>
  <w:num w:numId="1">
    <w:abstractNumId w:val="1378869951"/>
  </w:num>
</w:numbering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