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附件6</w:t>
      </w:r>
    </w:p>
    <w:p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主考学校</w:t>
            </w:r>
            <w:r>
              <w:rPr>
                <w:rFonts w:ascii="仿宋" w:hAnsi="仿宋" w:eastAsia="仿宋"/>
                <w:sz w:val="24"/>
              </w:rPr>
              <w:t>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>
      <w:pPr>
        <w:spacing w:line="400" w:lineRule="exact"/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</w:t>
      </w:r>
      <w:r>
        <w:rPr>
          <w:rFonts w:hint="eastAsia" w:eastAsia="方正仿宋_GBK"/>
          <w:spacing w:val="-20"/>
          <w:sz w:val="24"/>
          <w:lang w:eastAsia="zh-CN"/>
        </w:rPr>
        <w:t>主考学校</w:t>
      </w:r>
      <w:r>
        <w:rPr>
          <w:rFonts w:eastAsia="方正仿宋_GBK"/>
          <w:spacing w:val="-20"/>
          <w:sz w:val="24"/>
        </w:rPr>
        <w:t>留存，一份报省教育考试院。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30171CDC"/>
    <w:rsid w:val="301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